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622" w:rsidRPr="00A20280" w:rsidRDefault="00101622" w:rsidP="00101622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A20280">
        <w:rPr>
          <w:rFonts w:asciiTheme="minorEastAsia" w:eastAsiaTheme="minorEastAsia" w:hAnsiTheme="minorEastAsia" w:hint="eastAsia"/>
          <w:sz w:val="36"/>
          <w:szCs w:val="36"/>
        </w:rPr>
        <w:t>第9课时</w:t>
      </w:r>
      <w:r w:rsidRPr="00A20280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A20280">
        <w:rPr>
          <w:rFonts w:asciiTheme="minorEastAsia" w:eastAsiaTheme="minorEastAsia" w:hAnsiTheme="minorEastAsia" w:hint="eastAsia"/>
          <w:sz w:val="36"/>
          <w:szCs w:val="36"/>
        </w:rPr>
        <w:t>圆锥的体积</w:t>
      </w:r>
    </w:p>
    <w:p w:rsidR="00101622" w:rsidRPr="00A20280" w:rsidRDefault="00101622" w:rsidP="00101622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28" name="bt01.jpg" descr="id:21474914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1622" w:rsidRPr="00A20280" w:rsidRDefault="00101622" w:rsidP="00101622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【教学内容】</w:t>
      </w:r>
    </w:p>
    <w:p w:rsidR="00101622" w:rsidRPr="00A20280" w:rsidRDefault="00101622" w:rsidP="00101622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教材第</w:t>
      </w:r>
      <w:r w:rsidRPr="00A20280">
        <w:rPr>
          <w:rFonts w:asciiTheme="minorEastAsia" w:eastAsiaTheme="minorEastAsia" w:hAnsiTheme="minorEastAsia"/>
          <w:szCs w:val="21"/>
        </w:rPr>
        <w:t>33~34</w:t>
      </w:r>
      <w:r w:rsidRPr="00A20280">
        <w:rPr>
          <w:rFonts w:asciiTheme="minorEastAsia" w:eastAsiaTheme="minorEastAsia" w:hAnsiTheme="minorEastAsia" w:hint="eastAsia"/>
          <w:szCs w:val="21"/>
        </w:rPr>
        <w:t>页例</w:t>
      </w:r>
      <w:r w:rsidRPr="00A20280">
        <w:rPr>
          <w:rFonts w:asciiTheme="minorEastAsia" w:eastAsiaTheme="minorEastAsia" w:hAnsiTheme="minorEastAsia"/>
          <w:szCs w:val="21"/>
        </w:rPr>
        <w:t>2</w:t>
      </w:r>
      <w:r w:rsidRPr="00A20280">
        <w:rPr>
          <w:rFonts w:asciiTheme="minorEastAsia" w:eastAsiaTheme="minorEastAsia" w:hAnsiTheme="minorEastAsia" w:hint="eastAsia"/>
          <w:szCs w:val="21"/>
        </w:rPr>
        <w:t>、例</w:t>
      </w:r>
      <w:r w:rsidRPr="00A20280">
        <w:rPr>
          <w:rFonts w:asciiTheme="minorEastAsia" w:eastAsiaTheme="minorEastAsia" w:hAnsiTheme="minorEastAsia"/>
          <w:szCs w:val="21"/>
        </w:rPr>
        <w:t>3</w:t>
      </w:r>
      <w:r w:rsidRPr="00A20280">
        <w:rPr>
          <w:rFonts w:asciiTheme="minorEastAsia" w:eastAsiaTheme="minorEastAsia" w:hAnsiTheme="minorEastAsia" w:hint="eastAsia"/>
          <w:szCs w:val="21"/>
        </w:rPr>
        <w:t>及“做一做”第</w:t>
      </w:r>
      <w:r w:rsidRPr="00A20280">
        <w:rPr>
          <w:rFonts w:asciiTheme="minorEastAsia" w:eastAsiaTheme="minorEastAsia" w:hAnsiTheme="minorEastAsia"/>
          <w:szCs w:val="21"/>
        </w:rPr>
        <w:t>1,2</w:t>
      </w:r>
      <w:r w:rsidRPr="00A20280">
        <w:rPr>
          <w:rFonts w:asciiTheme="minorEastAsia" w:eastAsiaTheme="minorEastAsia" w:hAnsiTheme="minorEastAsia" w:hint="eastAsia"/>
          <w:szCs w:val="21"/>
        </w:rPr>
        <w:t>题。</w:t>
      </w:r>
    </w:p>
    <w:p w:rsidR="00101622" w:rsidRPr="00A20280" w:rsidRDefault="00101622" w:rsidP="00101622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【教学目标】</w:t>
      </w:r>
    </w:p>
    <w:p w:rsidR="00101622" w:rsidRPr="00A20280" w:rsidRDefault="00101622" w:rsidP="00101622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szCs w:val="21"/>
        </w:rPr>
        <w:t>1.</w:t>
      </w:r>
      <w:r w:rsidRPr="00A20280">
        <w:rPr>
          <w:rFonts w:asciiTheme="minorEastAsia" w:eastAsiaTheme="minorEastAsia" w:hAnsiTheme="minorEastAsia" w:hint="eastAsia"/>
          <w:szCs w:val="21"/>
        </w:rPr>
        <w:t>探索并掌握圆锥体积的推导过程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掌握圆锥体积的计算方法。</w:t>
      </w:r>
    </w:p>
    <w:p w:rsidR="00101622" w:rsidRPr="00A20280" w:rsidRDefault="00101622" w:rsidP="00101622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szCs w:val="21"/>
        </w:rPr>
        <w:t>2.</w:t>
      </w:r>
      <w:r w:rsidRPr="00A20280">
        <w:rPr>
          <w:rFonts w:asciiTheme="minorEastAsia" w:eastAsiaTheme="minorEastAsia" w:hAnsiTheme="minorEastAsia" w:hint="eastAsia"/>
          <w:szCs w:val="21"/>
        </w:rPr>
        <w:t>会应用公式计算圆锥的体积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并解决一些实际问题。</w:t>
      </w:r>
    </w:p>
    <w:p w:rsidR="00101622" w:rsidRPr="00A20280" w:rsidRDefault="00101622" w:rsidP="00101622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szCs w:val="21"/>
        </w:rPr>
        <w:t>3.</w:t>
      </w:r>
      <w:r w:rsidRPr="00A20280">
        <w:rPr>
          <w:rFonts w:asciiTheme="minorEastAsia" w:eastAsiaTheme="minorEastAsia" w:hAnsiTheme="minorEastAsia" w:hint="eastAsia"/>
          <w:szCs w:val="21"/>
        </w:rPr>
        <w:t>通过操作、试验、观察等方式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让学生进行比较、分析、综合、猜测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在感知的基础上加以判断、推理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来获取新知识。</w:t>
      </w:r>
    </w:p>
    <w:p w:rsidR="00101622" w:rsidRPr="00A20280" w:rsidRDefault="00101622" w:rsidP="00101622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szCs w:val="21"/>
        </w:rPr>
        <w:t>4.</w:t>
      </w:r>
      <w:r w:rsidRPr="00A20280">
        <w:rPr>
          <w:rFonts w:asciiTheme="minorEastAsia" w:eastAsiaTheme="minorEastAsia" w:hAnsiTheme="minorEastAsia" w:hint="eastAsia"/>
          <w:szCs w:val="21"/>
        </w:rPr>
        <w:t>渗透知识是“互相转化”的辨证思想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让学生养成善于猜测的习惯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在探索合作中感受教学与生活的密切联系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感受探究成功的快乐。</w:t>
      </w:r>
    </w:p>
    <w:p w:rsidR="00101622" w:rsidRPr="00A20280" w:rsidRDefault="00101622" w:rsidP="00101622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【教学重点】</w:t>
      </w:r>
    </w:p>
    <w:p w:rsidR="00101622" w:rsidRPr="00A20280" w:rsidRDefault="00101622" w:rsidP="00101622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掌握圆锥的体积计算方法及运用圆锥的体积计算方法解决实际问题。</w:t>
      </w:r>
    </w:p>
    <w:p w:rsidR="00101622" w:rsidRPr="00A20280" w:rsidRDefault="00101622" w:rsidP="00101622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【教学难点】</w:t>
      </w:r>
    </w:p>
    <w:p w:rsidR="00101622" w:rsidRPr="00A20280" w:rsidRDefault="00101622" w:rsidP="00101622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理解圆锥体积公式的推导过程。</w:t>
      </w:r>
    </w:p>
    <w:p w:rsidR="00101622" w:rsidRPr="00A20280" w:rsidRDefault="00101622" w:rsidP="00101622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【教学准备】</w:t>
      </w:r>
    </w:p>
    <w:p w:rsidR="00101622" w:rsidRPr="00A20280" w:rsidRDefault="00101622" w:rsidP="00101622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szCs w:val="21"/>
        </w:rPr>
        <w:t>PPT</w:t>
      </w:r>
      <w:r w:rsidRPr="00A20280">
        <w:rPr>
          <w:rFonts w:asciiTheme="minorEastAsia" w:eastAsiaTheme="minorEastAsia" w:hAnsiTheme="minorEastAsia" w:hint="eastAsia"/>
          <w:szCs w:val="21"/>
        </w:rPr>
        <w:t>课件。</w:t>
      </w:r>
    </w:p>
    <w:p w:rsidR="00101622" w:rsidRPr="00A20280" w:rsidRDefault="00101622" w:rsidP="00101622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59640"/>
            <wp:effectExtent l="0" t="0" r="0" b="0"/>
            <wp:docPr id="29" name="bt02.jpg" descr="id:21474914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7"/>
      </w:tblGrid>
      <w:tr w:rsidR="00101622" w:rsidRPr="00A20280" w:rsidTr="000903DB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101622" w:rsidRPr="00A20280" w:rsidRDefault="00101622" w:rsidP="000903D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01622" w:rsidRPr="00A20280" w:rsidRDefault="00101622" w:rsidP="000903D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101622" w:rsidRPr="00A20280" w:rsidTr="000903D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101622" w:rsidRPr="00A20280" w:rsidRDefault="00101622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一、复习准备</w:t>
            </w:r>
          </w:p>
          <w:p w:rsidR="00101622" w:rsidRPr="00A20280" w:rsidRDefault="00101622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圆柱的体积计算公式是什么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  <w:p w:rsidR="00101622" w:rsidRPr="00A20280" w:rsidRDefault="00101622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你能说说圆锥各部分的名称吗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101622" w:rsidRPr="00A20280" w:rsidRDefault="00101622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二、创设情境、引入新知</w:t>
            </w:r>
          </w:p>
          <w:p w:rsidR="00101622" w:rsidRPr="00A20280" w:rsidRDefault="00101622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同学们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前面我们已经认识了圆锥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掌握了它的特征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那么圆锥的体积怎么计算呢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这节课我们就来研究这个问题。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板书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圆锥的体积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101622" w:rsidRPr="00A20280" w:rsidRDefault="00101622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三、自主探究</w:t>
            </w:r>
            <w:r w:rsidRPr="00A20280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学习新知</w:t>
            </w:r>
          </w:p>
          <w:p w:rsidR="00101622" w:rsidRPr="00A20280" w:rsidRDefault="00101622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一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引导观察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主动思考。</w:t>
            </w:r>
          </w:p>
          <w:p w:rsidR="00101622" w:rsidRPr="00A20280" w:rsidRDefault="00101622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今天我们要学习圆锥体的体积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同学们觉得用什么方法比较好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101622" w:rsidRPr="00A20280" w:rsidRDefault="00101622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lastRenderedPageBreak/>
              <w:t>2.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同学们打算如何转化圆柱体和圆锥体之间的关系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101622" w:rsidRPr="00A20280" w:rsidRDefault="00101622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</w:p>
          <w:p w:rsidR="00101622" w:rsidRPr="00A20280" w:rsidRDefault="00101622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</w:p>
          <w:p w:rsidR="00101622" w:rsidRPr="00A20280" w:rsidRDefault="00101622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集体汇报。</w:t>
            </w:r>
          </w:p>
          <w:p w:rsidR="00101622" w:rsidRPr="00A20280" w:rsidRDefault="00101622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二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动手试验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得出结论。</w:t>
            </w:r>
          </w:p>
          <w:p w:rsidR="00101622" w:rsidRPr="00A20280" w:rsidRDefault="00101622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确定圆柱和圆锥的特点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:</w:t>
            </w:r>
          </w:p>
          <w:p w:rsidR="00101622" w:rsidRPr="00A20280" w:rsidRDefault="00101622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为了我们研究圆锥体体积的方便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每个组都准备了一个圆柱体和一个圆锥体。小组比比看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这两个形体有什么相同的地方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学生操作比较。</w:t>
            </w:r>
          </w:p>
          <w:p w:rsidR="00101622" w:rsidRPr="00A20280" w:rsidRDefault="00101622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</w:p>
          <w:p w:rsidR="00101622" w:rsidRPr="00A20280" w:rsidRDefault="00101622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集体汇报。</w:t>
            </w:r>
          </w:p>
          <w:p w:rsidR="00101622" w:rsidRPr="00A20280" w:rsidRDefault="00101622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结论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等底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等高。</w:t>
            </w:r>
          </w:p>
          <w:p w:rsidR="00101622" w:rsidRPr="00A20280" w:rsidRDefault="00101622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2.(PPT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33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页情境图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用倒沙子或倒水的方法试一试。</w:t>
            </w:r>
          </w:p>
          <w:p w:rsidR="00101622" w:rsidRPr="00A20280" w:rsidRDefault="00101622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合作试验。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01622" w:rsidRPr="00A20280" w:rsidRDefault="00101622" w:rsidP="000903D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01622" w:rsidRPr="00A20280" w:rsidTr="000903D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101622" w:rsidRPr="00A20280" w:rsidRDefault="00101622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lastRenderedPageBreak/>
              <w:t xml:space="preserve"> (2)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</w:p>
          <w:p w:rsidR="00101622" w:rsidRPr="00A20280" w:rsidRDefault="00101622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集体汇报。</w:t>
            </w:r>
          </w:p>
          <w:p w:rsidR="00101622" w:rsidRPr="00A20280" w:rsidRDefault="00101622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得出结论。</w:t>
            </w:r>
          </w:p>
          <w:p w:rsidR="00101622" w:rsidRPr="00A20280" w:rsidRDefault="00101622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i/>
                <w:szCs w:val="21"/>
              </w:rPr>
              <w:t>V</w:t>
            </w:r>
            <w:r w:rsidRPr="00A20280">
              <w:rPr>
                <w:rFonts w:asciiTheme="minorEastAsia" w:eastAsiaTheme="minorEastAsia" w:hAnsiTheme="minorEastAsia" w:hint="eastAsia"/>
                <w:szCs w:val="21"/>
                <w:vertAlign w:val="subscript"/>
              </w:rPr>
              <w:t>圆锥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=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1"/>
                    </w:rPr>
                    <m:t>3</m:t>
                  </m:r>
                </m:den>
              </m:f>
            </m:oMath>
            <w:r w:rsidRPr="00A20280">
              <w:rPr>
                <w:rFonts w:asciiTheme="minorEastAsia" w:eastAsiaTheme="minorEastAsia" w:hAnsiTheme="minorEastAsia"/>
                <w:i/>
                <w:szCs w:val="21"/>
              </w:rPr>
              <w:t>Sh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强调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不是所有的圆锥体积都是圆柱体积的三分之一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必须是等底等高圆锥体积是圆柱体积的三分之一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101622" w:rsidRPr="00A20280" w:rsidRDefault="00101622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四、深入探究</w:t>
            </w:r>
            <w:r w:rsidRPr="00A20280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合作解决</w:t>
            </w:r>
          </w:p>
          <w:p w:rsidR="00101622" w:rsidRPr="00A20280" w:rsidRDefault="00101622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根据情境再提出问题。</w:t>
            </w:r>
          </w:p>
          <w:p w:rsidR="00101622" w:rsidRPr="00A20280" w:rsidRDefault="00101622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:(PPT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34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页情境图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工地上有一堆沙子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近似于一个圆锥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底面直径为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4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m,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高为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1.5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m,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这堆沙子的体积大约是多少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如果每立方米沙子重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1.5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t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这堆沙子大约重多少吨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101622" w:rsidRPr="00A20280" w:rsidRDefault="00101622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求这堆沙子的体积就是求什么的体积。</w:t>
            </w:r>
          </w:p>
          <w:p w:rsidR="00101622" w:rsidRPr="00A20280" w:rsidRDefault="00101622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自主探究计算方法。</w:t>
            </w:r>
          </w:p>
          <w:p w:rsidR="00101622" w:rsidRPr="00A20280" w:rsidRDefault="00101622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</w:p>
          <w:p w:rsidR="00101622" w:rsidRPr="00A20280" w:rsidRDefault="00101622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</w:p>
          <w:p w:rsidR="00101622" w:rsidRPr="00A20280" w:rsidRDefault="00101622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汇报展示。</w:t>
            </w:r>
          </w:p>
          <w:p w:rsidR="00101622" w:rsidRPr="00A20280" w:rsidRDefault="00101622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总结计算方法。</w:t>
            </w:r>
          </w:p>
          <w:p w:rsidR="00101622" w:rsidRPr="00A20280" w:rsidRDefault="00101622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lastRenderedPageBreak/>
              <w:t>五、课堂小结</w:t>
            </w:r>
          </w:p>
          <w:p w:rsidR="00101622" w:rsidRPr="00A20280" w:rsidRDefault="00101622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这节课你学到了什么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你有什么收获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)?</w:t>
            </w:r>
          </w:p>
          <w:p w:rsidR="00101622" w:rsidRPr="00A20280" w:rsidRDefault="00101622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六、巩固练习</w:t>
            </w:r>
          </w:p>
          <w:p w:rsidR="00101622" w:rsidRPr="00A20280" w:rsidRDefault="00101622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完成教材第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34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页“做一做”第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1,2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题。</w:t>
            </w:r>
          </w:p>
          <w:p w:rsidR="00101622" w:rsidRPr="00A20280" w:rsidRDefault="00101622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七、布置作业</w:t>
            </w:r>
          </w:p>
          <w:p w:rsidR="00101622" w:rsidRPr="00A20280" w:rsidRDefault="00101622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01622" w:rsidRPr="00A20280" w:rsidRDefault="00101622" w:rsidP="000903D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101622" w:rsidRPr="00A20280" w:rsidRDefault="00101622" w:rsidP="00101622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30" name="bt03.jpg" descr="id:21474914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1622" w:rsidRPr="00A20280" w:rsidRDefault="00101622" w:rsidP="00101622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【板书设计】</w:t>
      </w:r>
    </w:p>
    <w:p w:rsidR="00101622" w:rsidRPr="00A20280" w:rsidRDefault="00101622" w:rsidP="00101622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圆锥的体积</w:t>
      </w:r>
    </w:p>
    <w:p w:rsidR="00101622" w:rsidRPr="00A20280" w:rsidRDefault="00101622" w:rsidP="00101622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i/>
          <w:szCs w:val="21"/>
        </w:rPr>
        <w:t>V</w:t>
      </w:r>
      <w:r w:rsidRPr="00A20280">
        <w:rPr>
          <w:rFonts w:asciiTheme="minorEastAsia" w:eastAsiaTheme="minorEastAsia" w:hAnsiTheme="minorEastAsia" w:hint="eastAsia"/>
          <w:szCs w:val="21"/>
          <w:vertAlign w:val="subscript"/>
        </w:rPr>
        <w:t>圆锥</w:t>
      </w:r>
      <w:r w:rsidRPr="00A20280">
        <w:rPr>
          <w:rFonts w:asciiTheme="minorEastAsia" w:eastAsiaTheme="minorEastAsia" w:hAnsiTheme="minorEastAsia"/>
          <w:szCs w:val="21"/>
        </w:rPr>
        <w:t>=</w:t>
      </w:r>
      <m:oMath>
        <m:f>
          <m:fPr>
            <m:ctrlPr>
              <w:rPr>
                <w:rFonts w:ascii="Cambria Math" w:eastAsiaTheme="minorEastAsia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3</m:t>
            </m:r>
          </m:den>
        </m:f>
      </m:oMath>
      <w:r w:rsidRPr="00A20280">
        <w:rPr>
          <w:rFonts w:asciiTheme="minorEastAsia" w:eastAsiaTheme="minorEastAsia" w:hAnsiTheme="minorEastAsia"/>
          <w:i/>
          <w:szCs w:val="21"/>
        </w:rPr>
        <w:t>V</w:t>
      </w:r>
      <w:r w:rsidRPr="00A20280">
        <w:rPr>
          <w:rFonts w:asciiTheme="minorEastAsia" w:eastAsiaTheme="minorEastAsia" w:hAnsiTheme="minorEastAsia" w:hint="eastAsia"/>
          <w:szCs w:val="21"/>
          <w:vertAlign w:val="subscript"/>
        </w:rPr>
        <w:t>圆柱</w:t>
      </w:r>
      <w:r w:rsidRPr="00A20280">
        <w:rPr>
          <w:rFonts w:asciiTheme="minorEastAsia" w:eastAsiaTheme="minorEastAsia" w:hAnsiTheme="minorEastAsia"/>
          <w:szCs w:val="21"/>
        </w:rPr>
        <w:t>=</w:t>
      </w:r>
      <m:oMath>
        <m:f>
          <m:fPr>
            <m:ctrlPr>
              <w:rPr>
                <w:rFonts w:ascii="Cambria Math" w:eastAsiaTheme="minorEastAsia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3</m:t>
            </m:r>
          </m:den>
        </m:f>
      </m:oMath>
      <w:r w:rsidRPr="00A20280">
        <w:rPr>
          <w:rFonts w:asciiTheme="minorEastAsia" w:eastAsiaTheme="minorEastAsia" w:hAnsiTheme="minorEastAsia"/>
          <w:i/>
          <w:szCs w:val="21"/>
        </w:rPr>
        <w:t>Sh</w:t>
      </w:r>
      <w:r w:rsidRPr="00A20280">
        <w:rPr>
          <w:rFonts w:asciiTheme="minorEastAsia" w:eastAsiaTheme="minorEastAsia" w:hAnsiTheme="minorEastAsia"/>
          <w:szCs w:val="21"/>
        </w:rPr>
        <w:t>(</w:t>
      </w:r>
      <w:r w:rsidRPr="00A20280">
        <w:rPr>
          <w:rFonts w:asciiTheme="minorEastAsia" w:eastAsiaTheme="minorEastAsia" w:hAnsiTheme="minorEastAsia" w:hint="eastAsia"/>
          <w:szCs w:val="21"/>
        </w:rPr>
        <w:t>等底等高</w:t>
      </w:r>
      <w:r w:rsidRPr="00A20280">
        <w:rPr>
          <w:rFonts w:asciiTheme="minorEastAsia" w:eastAsiaTheme="minorEastAsia" w:hAnsiTheme="minorEastAsia"/>
          <w:szCs w:val="21"/>
        </w:rPr>
        <w:t>)</w:t>
      </w:r>
    </w:p>
    <w:p w:rsidR="00101622" w:rsidRPr="00A20280" w:rsidRDefault="00101622" w:rsidP="00101622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szCs w:val="21"/>
        </w:rPr>
        <w:t>3</w:t>
      </w:r>
      <w:r w:rsidRPr="00A20280">
        <w:rPr>
          <w:rFonts w:asciiTheme="minorEastAsia" w:eastAsiaTheme="minorEastAsia" w:hAnsiTheme="minorEastAsia"/>
          <w:i/>
          <w:szCs w:val="21"/>
        </w:rPr>
        <w:t>.</w:t>
      </w:r>
      <w:r w:rsidRPr="00A20280">
        <w:rPr>
          <w:rFonts w:asciiTheme="minorEastAsia" w:eastAsiaTheme="minorEastAsia" w:hAnsiTheme="minorEastAsia"/>
          <w:szCs w:val="21"/>
        </w:rPr>
        <w:t>14×</w:t>
      </w:r>
      <m:oMath>
        <m:sSup>
          <m:sSupPr>
            <m:ctrlPr>
              <w:rPr>
                <w:rFonts w:ascii="Cambria Math" w:eastAsiaTheme="minorEastAsia" w:hAnsi="Cambria Math"/>
                <w:szCs w:val="21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szCs w:val="21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szCs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Cs w:val="21"/>
                      </w:rPr>
                      <m:t>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2</m:t>
            </m:r>
          </m:sup>
        </m:sSup>
      </m:oMath>
      <w:r w:rsidRPr="00A20280">
        <w:rPr>
          <w:rFonts w:asciiTheme="minorEastAsia" w:eastAsiaTheme="minorEastAsia" w:hAnsiTheme="minorEastAsia"/>
          <w:szCs w:val="21"/>
        </w:rPr>
        <w:t>=3</w:t>
      </w:r>
      <w:r w:rsidRPr="00A20280">
        <w:rPr>
          <w:rFonts w:asciiTheme="minorEastAsia" w:eastAsiaTheme="minorEastAsia" w:hAnsiTheme="minorEastAsia"/>
          <w:i/>
          <w:szCs w:val="21"/>
        </w:rPr>
        <w:t>.</w:t>
      </w:r>
      <w:r w:rsidRPr="00A20280">
        <w:rPr>
          <w:rFonts w:asciiTheme="minorEastAsia" w:eastAsiaTheme="minorEastAsia" w:hAnsiTheme="minorEastAsia"/>
          <w:szCs w:val="21"/>
        </w:rPr>
        <w:t>14×4=12</w:t>
      </w:r>
      <w:r w:rsidRPr="00A20280">
        <w:rPr>
          <w:rFonts w:asciiTheme="minorEastAsia" w:eastAsiaTheme="minorEastAsia" w:hAnsiTheme="minorEastAsia"/>
          <w:i/>
          <w:szCs w:val="21"/>
        </w:rPr>
        <w:t>.</w:t>
      </w:r>
      <w:r w:rsidRPr="00A20280">
        <w:rPr>
          <w:rFonts w:asciiTheme="minorEastAsia" w:eastAsiaTheme="minorEastAsia" w:hAnsiTheme="minorEastAsia"/>
          <w:szCs w:val="21"/>
        </w:rPr>
        <w:t>56(m</w:t>
      </w:r>
      <w:r w:rsidRPr="00A20280">
        <w:rPr>
          <w:rFonts w:asciiTheme="minorEastAsia" w:eastAsiaTheme="minorEastAsia" w:hAnsiTheme="minorEastAsia"/>
          <w:szCs w:val="21"/>
          <w:vertAlign w:val="superscript"/>
        </w:rPr>
        <w:t>2</w:t>
      </w:r>
      <w:r w:rsidRPr="00A20280">
        <w:rPr>
          <w:rFonts w:asciiTheme="minorEastAsia" w:eastAsiaTheme="minorEastAsia" w:hAnsiTheme="minorEastAsia"/>
          <w:szCs w:val="21"/>
        </w:rPr>
        <w:t>)</w:t>
      </w:r>
    </w:p>
    <w:p w:rsidR="00101622" w:rsidRPr="00A20280" w:rsidRDefault="00101622" w:rsidP="00101622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m:oMath>
        <m:f>
          <m:fPr>
            <m:ctrlPr>
              <w:rPr>
                <w:rFonts w:ascii="Cambria Math" w:eastAsiaTheme="minorEastAsia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3</m:t>
            </m:r>
          </m:den>
        </m:f>
      </m:oMath>
      <w:r w:rsidRPr="00A20280">
        <w:rPr>
          <w:rFonts w:asciiTheme="minorEastAsia" w:eastAsiaTheme="minorEastAsia" w:hAnsiTheme="minorEastAsia"/>
          <w:szCs w:val="21"/>
        </w:rPr>
        <w:t>×12</w:t>
      </w:r>
      <w:r w:rsidRPr="00A20280">
        <w:rPr>
          <w:rFonts w:asciiTheme="minorEastAsia" w:eastAsiaTheme="minorEastAsia" w:hAnsiTheme="minorEastAsia"/>
          <w:i/>
          <w:szCs w:val="21"/>
        </w:rPr>
        <w:t>.</w:t>
      </w:r>
      <w:r w:rsidRPr="00A20280">
        <w:rPr>
          <w:rFonts w:asciiTheme="minorEastAsia" w:eastAsiaTheme="minorEastAsia" w:hAnsiTheme="minorEastAsia"/>
          <w:szCs w:val="21"/>
        </w:rPr>
        <w:t>56×1</w:t>
      </w:r>
      <w:r w:rsidRPr="00A20280">
        <w:rPr>
          <w:rFonts w:asciiTheme="minorEastAsia" w:eastAsiaTheme="minorEastAsia" w:hAnsiTheme="minorEastAsia"/>
          <w:i/>
          <w:szCs w:val="21"/>
        </w:rPr>
        <w:t>.</w:t>
      </w:r>
      <w:r w:rsidRPr="00A20280">
        <w:rPr>
          <w:rFonts w:asciiTheme="minorEastAsia" w:eastAsiaTheme="minorEastAsia" w:hAnsiTheme="minorEastAsia"/>
          <w:szCs w:val="21"/>
        </w:rPr>
        <w:t>5=6</w:t>
      </w:r>
      <w:r w:rsidRPr="00A20280">
        <w:rPr>
          <w:rFonts w:asciiTheme="minorEastAsia" w:eastAsiaTheme="minorEastAsia" w:hAnsiTheme="minorEastAsia"/>
          <w:i/>
          <w:szCs w:val="21"/>
        </w:rPr>
        <w:t>.</w:t>
      </w:r>
      <w:r w:rsidRPr="00A20280">
        <w:rPr>
          <w:rFonts w:asciiTheme="minorEastAsia" w:eastAsiaTheme="minorEastAsia" w:hAnsiTheme="minorEastAsia"/>
          <w:szCs w:val="21"/>
        </w:rPr>
        <w:t>28(m</w:t>
      </w:r>
      <w:r w:rsidRPr="00A20280">
        <w:rPr>
          <w:rFonts w:asciiTheme="minorEastAsia" w:eastAsiaTheme="minorEastAsia" w:hAnsiTheme="minorEastAsia"/>
          <w:szCs w:val="21"/>
          <w:vertAlign w:val="superscript"/>
        </w:rPr>
        <w:t>3</w:t>
      </w:r>
      <w:r w:rsidRPr="00A20280">
        <w:rPr>
          <w:rFonts w:asciiTheme="minorEastAsia" w:eastAsiaTheme="minorEastAsia" w:hAnsiTheme="minorEastAsia"/>
          <w:szCs w:val="21"/>
        </w:rPr>
        <w:t>)</w:t>
      </w:r>
    </w:p>
    <w:p w:rsidR="00101622" w:rsidRPr="00A20280" w:rsidRDefault="00101622" w:rsidP="00101622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szCs w:val="21"/>
        </w:rPr>
        <w:t>6</w:t>
      </w:r>
      <w:r w:rsidRPr="00A20280">
        <w:rPr>
          <w:rFonts w:asciiTheme="minorEastAsia" w:eastAsiaTheme="minorEastAsia" w:hAnsiTheme="minorEastAsia"/>
          <w:i/>
          <w:szCs w:val="21"/>
        </w:rPr>
        <w:t>.</w:t>
      </w:r>
      <w:r w:rsidRPr="00A20280">
        <w:rPr>
          <w:rFonts w:asciiTheme="minorEastAsia" w:eastAsiaTheme="minorEastAsia" w:hAnsiTheme="minorEastAsia"/>
          <w:szCs w:val="21"/>
        </w:rPr>
        <w:t>28×1</w:t>
      </w:r>
      <w:r w:rsidRPr="00A20280">
        <w:rPr>
          <w:rFonts w:asciiTheme="minorEastAsia" w:eastAsiaTheme="minorEastAsia" w:hAnsiTheme="minorEastAsia"/>
          <w:i/>
          <w:szCs w:val="21"/>
        </w:rPr>
        <w:t>.</w:t>
      </w:r>
      <w:r w:rsidRPr="00A20280">
        <w:rPr>
          <w:rFonts w:asciiTheme="minorEastAsia" w:eastAsiaTheme="minorEastAsia" w:hAnsiTheme="minorEastAsia"/>
          <w:szCs w:val="21"/>
        </w:rPr>
        <w:t>5=9</w:t>
      </w:r>
      <w:r w:rsidRPr="00A20280">
        <w:rPr>
          <w:rFonts w:asciiTheme="minorEastAsia" w:eastAsiaTheme="minorEastAsia" w:hAnsiTheme="minorEastAsia"/>
          <w:i/>
          <w:szCs w:val="21"/>
        </w:rPr>
        <w:t>.</w:t>
      </w:r>
      <w:r w:rsidRPr="00A20280">
        <w:rPr>
          <w:rFonts w:asciiTheme="minorEastAsia" w:eastAsiaTheme="minorEastAsia" w:hAnsiTheme="minorEastAsia"/>
          <w:szCs w:val="21"/>
        </w:rPr>
        <w:t>42(t)</w:t>
      </w:r>
    </w:p>
    <w:p w:rsidR="00101622" w:rsidRPr="00A20280" w:rsidRDefault="00101622" w:rsidP="00101622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【教学反思】</w:t>
      </w:r>
    </w:p>
    <w:p w:rsidR="00101622" w:rsidRPr="00A20280" w:rsidRDefault="00101622" w:rsidP="00101622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color w:val="FF00FF"/>
          <w:szCs w:val="21"/>
        </w:rPr>
        <w:t>[</w:t>
      </w:r>
      <w:r w:rsidRPr="00A20280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A20280">
        <w:rPr>
          <w:rFonts w:asciiTheme="minorEastAsia" w:eastAsiaTheme="minorEastAsia" w:hAnsiTheme="minorEastAsia"/>
          <w:color w:val="FF00FF"/>
          <w:szCs w:val="21"/>
        </w:rPr>
        <w:t>]</w:t>
      </w:r>
      <w:r w:rsidRPr="00A20280">
        <w:rPr>
          <w:rFonts w:asciiTheme="minorEastAsia" w:eastAsiaTheme="minorEastAsia" w:hAnsiTheme="minorEastAsia"/>
          <w:szCs w:val="21"/>
        </w:rPr>
        <w:t xml:space="preserve">　</w:t>
      </w:r>
      <w:r w:rsidRPr="00A20280">
        <w:rPr>
          <w:rFonts w:asciiTheme="minorEastAsia" w:eastAsiaTheme="minorEastAsia" w:hAnsiTheme="minorEastAsia" w:hint="eastAsia"/>
          <w:szCs w:val="21"/>
        </w:rPr>
        <w:t>教学圆锥体积公式采用的方法与圆柱相同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都是“转化”的思想。这节课首先复习圆柱的体积公式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在此直观的基础上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让学生亲自动手试验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这里除了培养学生的自主探究、发现的能力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还让学生在操作试验的过程中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各种能力得到锻炼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同时还让学生在试验中感受数学的严密性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感受数学的内在魅力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激发学生对数学的热爱。学生学的关键在于会不会运用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因而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在学生探索好后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让学生用自己探索到的结论解决生活中的一些实际问题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让他们真正感受到数学的用处——生活中处处离不开数学。最后让学生谈谈收获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巩固这节课的重点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加深印象。</w:t>
      </w:r>
    </w:p>
    <w:p w:rsidR="00101622" w:rsidRPr="00A20280" w:rsidRDefault="00101622" w:rsidP="00101622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color w:val="FF00FF"/>
          <w:szCs w:val="21"/>
        </w:rPr>
        <w:t>[</w:t>
      </w:r>
      <w:r w:rsidRPr="00A20280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A20280">
        <w:rPr>
          <w:rFonts w:asciiTheme="minorEastAsia" w:eastAsiaTheme="minorEastAsia" w:hAnsiTheme="minorEastAsia"/>
          <w:color w:val="FF00FF"/>
          <w:szCs w:val="21"/>
        </w:rPr>
        <w:t>]</w:t>
      </w:r>
      <w:r w:rsidRPr="00A20280">
        <w:rPr>
          <w:rFonts w:asciiTheme="minorEastAsia" w:eastAsiaTheme="minorEastAsia" w:hAnsiTheme="minorEastAsia"/>
          <w:szCs w:val="21"/>
        </w:rPr>
        <w:t xml:space="preserve">　</w:t>
      </w:r>
      <w:r w:rsidRPr="00A20280">
        <w:rPr>
          <w:rFonts w:asciiTheme="minorEastAsia" w:eastAsiaTheme="minorEastAsia" w:hAnsiTheme="minorEastAsia" w:hint="eastAsia"/>
          <w:szCs w:val="21"/>
        </w:rPr>
        <w:t>本节课也有不尽如人意之处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例如</w:t>
      </w:r>
      <w:r w:rsidRPr="00A20280">
        <w:rPr>
          <w:rFonts w:asciiTheme="minorEastAsia" w:eastAsiaTheme="minorEastAsia" w:hAnsiTheme="minorEastAsia"/>
          <w:szCs w:val="21"/>
        </w:rPr>
        <w:t>:</w:t>
      </w:r>
      <w:r w:rsidRPr="00A20280">
        <w:rPr>
          <w:rFonts w:asciiTheme="minorEastAsia" w:eastAsiaTheme="minorEastAsia" w:hAnsiTheme="minorEastAsia" w:hint="eastAsia"/>
          <w:szCs w:val="21"/>
        </w:rPr>
        <w:t>同学在计算过程中忘记乘三分之一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还需要加强巩固训练。</w:t>
      </w:r>
    </w:p>
    <w:p w:rsidR="00101622" w:rsidRPr="00A20280" w:rsidRDefault="00101622" w:rsidP="00101622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color w:val="FF00FF"/>
          <w:szCs w:val="21"/>
        </w:rPr>
        <w:t>[</w:t>
      </w:r>
      <w:r w:rsidRPr="00A20280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A20280">
        <w:rPr>
          <w:rFonts w:asciiTheme="minorEastAsia" w:eastAsiaTheme="minorEastAsia" w:hAnsiTheme="minorEastAsia"/>
          <w:color w:val="FF00FF"/>
          <w:szCs w:val="21"/>
        </w:rPr>
        <w:t>]</w:t>
      </w:r>
      <w:r w:rsidRPr="00A20280">
        <w:rPr>
          <w:rFonts w:asciiTheme="minorEastAsia" w:eastAsiaTheme="minorEastAsia" w:hAnsiTheme="minorEastAsia"/>
          <w:szCs w:val="21"/>
        </w:rPr>
        <w:t xml:space="preserve">　</w:t>
      </w:r>
      <w:r w:rsidRPr="00A20280">
        <w:rPr>
          <w:rFonts w:asciiTheme="minorEastAsia" w:eastAsiaTheme="minorEastAsia" w:hAnsiTheme="minorEastAsia" w:hint="eastAsia"/>
          <w:szCs w:val="21"/>
        </w:rPr>
        <w:t xml:space="preserve"> 圆锥体积公式的推导是本节课的教学难点。让学生直观感知圆锥的体积与它等底等高的圆柱的体积的关系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通过试验操作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合作交流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观察分析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对比圆柱与圆锥体积的联系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再计算时忘记乘三分之一的可能性会变小。</w:t>
      </w:r>
    </w:p>
    <w:p w:rsidR="00101622" w:rsidRPr="00A20280" w:rsidRDefault="00101622" w:rsidP="00101622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D515A1" w:rsidRPr="00101622" w:rsidRDefault="00D515A1"/>
    <w:sectPr w:rsidR="00D515A1" w:rsidRPr="00101622" w:rsidSect="00815AD8">
      <w:headerReference w:type="even" r:id="rId7"/>
      <w:headerReference w:type="default" r:id="rId8"/>
      <w:pgSz w:w="11907" w:h="16839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8A4" w:rsidRDefault="00101622">
    <w:pPr>
      <w:pStyle w:val="a3"/>
    </w:pPr>
    <w:r>
      <w:rPr>
        <w:rFonts w:hint="eastAsia"/>
      </w:rPr>
      <w:t>课时教案【教师用书】</w:t>
    </w:r>
    <w:r>
      <w:rPr>
        <w:rFonts w:hint="eastAsia"/>
      </w:rPr>
      <w:t xml:space="preserve">  </w:t>
    </w:r>
    <w:r>
      <w:rPr>
        <w:rFonts w:hint="eastAsia"/>
      </w:rPr>
      <w:t xml:space="preserve">             </w:t>
    </w:r>
    <w:r>
      <w:rPr>
        <w:rFonts w:hint="eastAsia"/>
      </w:rPr>
      <w:t xml:space="preserve">                </w:t>
    </w:r>
    <w:r>
      <w:rPr>
        <w:rFonts w:hint="eastAsia"/>
      </w:rPr>
      <w:t xml:space="preserve">                     </w:t>
    </w:r>
    <w:r>
      <w:rPr>
        <w:rFonts w:hint="eastAsia"/>
      </w:rPr>
      <w:t>六年级数学下·新课标（人）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7DE" w:rsidRDefault="00101622">
    <w:pPr>
      <w:pStyle w:val="a3"/>
    </w:pPr>
    <w:r>
      <w:rPr>
        <w:rFonts w:hint="eastAsia"/>
      </w:rPr>
      <w:t>第</w:t>
    </w:r>
    <w:r>
      <w:rPr>
        <w:rFonts w:hint="eastAsia"/>
      </w:rPr>
      <w:t>3</w:t>
    </w:r>
    <w:r>
      <w:rPr>
        <w:rFonts w:hint="eastAsia"/>
      </w:rPr>
      <w:t>单元</w:t>
    </w:r>
    <w:r>
      <w:rPr>
        <w:rFonts w:hint="eastAsia"/>
      </w:rPr>
      <w:t xml:space="preserve">  </w:t>
    </w:r>
    <w:r>
      <w:rPr>
        <w:rFonts w:hint="eastAsia"/>
      </w:rPr>
      <w:t>圆柱与圆锥</w:t>
    </w:r>
    <w:r>
      <w:rPr>
        <w:rFonts w:hint="eastAsia"/>
      </w:rPr>
      <w:t xml:space="preserve">          </w:t>
    </w:r>
    <w:r>
      <w:rPr>
        <w:rFonts w:hint="eastAsia"/>
      </w:rPr>
      <w:t xml:space="preserve">                                                            </w:t>
    </w:r>
    <w:r>
      <w:rPr>
        <w:rFonts w:hint="eastAsia"/>
      </w:rPr>
      <w:t>课时教案【教师用书】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01622"/>
    <w:rsid w:val="00101622"/>
    <w:rsid w:val="00D51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622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1622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3"/>
    <w:uiPriority w:val="99"/>
    <w:rsid w:val="00101622"/>
    <w:rPr>
      <w:rFonts w:ascii="NEU-BZ-S92" w:eastAsia="方正书宋_GBK" w:hAnsi="NEU-BZ-S92"/>
      <w:color w:val="000000"/>
      <w:kern w:val="0"/>
    </w:rPr>
  </w:style>
  <w:style w:type="paragraph" w:styleId="a4">
    <w:name w:val="Balloon Text"/>
    <w:basedOn w:val="a"/>
    <w:link w:val="Char0"/>
    <w:uiPriority w:val="99"/>
    <w:semiHidden/>
    <w:unhideWhenUsed/>
    <w:rsid w:val="00101622"/>
    <w:pPr>
      <w:spacing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101622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238</Words>
  <Characters>1360</Characters>
  <Application>Microsoft Office Word</Application>
  <DocSecurity>0</DocSecurity>
  <Lines>11</Lines>
  <Paragraphs>3</Paragraphs>
  <ScaleCrop>false</ScaleCrop>
  <Company/>
  <LinksUpToDate>false</LinksUpToDate>
  <CharactersWithSpaces>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2021-11-16T03:18:00Z</dcterms:created>
  <dcterms:modified xsi:type="dcterms:W3CDTF">2021-11-16T03:18:00Z</dcterms:modified>
</cp:coreProperties>
</file>